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0F" w:rsidRDefault="00A4550F">
      <w:pPr>
        <w:pBdr>
          <w:bottom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COOPERATIVE EXTENSION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="00825255">
        <w:rPr>
          <w:rFonts w:ascii="Arial" w:hAnsi="Arial"/>
        </w:rPr>
        <w:t xml:space="preserve">          </w:t>
      </w:r>
      <w:r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UNIVERSITY</w:t>
          </w:r>
        </w:smartTag>
        <w:r>
          <w:rPr>
            <w:rFonts w:ascii="Arial" w:hAnsi="Arial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</w:rPr>
            <w:t>CALIFORNIA</w:t>
          </w:r>
        </w:smartTag>
      </w:smartTag>
    </w:p>
    <w:p w:rsidR="00A4550F" w:rsidRDefault="00A4550F">
      <w:pPr>
        <w:jc w:val="center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CONTRA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COSTA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</w:smartTag>
    </w:p>
    <w:p w:rsidR="00A4550F" w:rsidRDefault="00A4550F">
      <w:pPr>
        <w:pStyle w:val="Heading2"/>
        <w:rPr>
          <w:rFonts w:ascii="Arial Black" w:hAnsi="Arial Black"/>
          <w:sz w:val="72"/>
        </w:rPr>
      </w:pPr>
      <w:r>
        <w:rPr>
          <w:rFonts w:ascii="Arial Black" w:hAnsi="Arial Black"/>
          <w:sz w:val="72"/>
        </w:rPr>
        <w:t xml:space="preserve">TREE </w:t>
      </w:r>
      <w:smartTag w:uri="urn:schemas-microsoft-com:office:smarttags" w:element="place">
        <w:r>
          <w:rPr>
            <w:rFonts w:ascii="Arial Black" w:hAnsi="Arial Black"/>
            <w:sz w:val="72"/>
          </w:rPr>
          <w:t>PEST</w:t>
        </w:r>
      </w:smartTag>
      <w:r>
        <w:rPr>
          <w:rFonts w:ascii="Arial Black" w:hAnsi="Arial Black"/>
          <w:sz w:val="72"/>
        </w:rPr>
        <w:t xml:space="preserve"> UPDATES</w:t>
      </w:r>
    </w:p>
    <w:p w:rsidR="00A4550F" w:rsidRDefault="00A4550F">
      <w:pPr>
        <w:pStyle w:val="Footer"/>
        <w:jc w:val="center"/>
        <w:rPr>
          <w:rFonts w:ascii="Arial" w:hAnsi="Arial"/>
          <w:b w:val="0"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 w:val="0"/>
              <w:sz w:val="22"/>
            </w:rPr>
            <w:t>75 Santa Barbara Rd.</w:t>
          </w:r>
        </w:smartTag>
      </w:smartTag>
      <w:r>
        <w:rPr>
          <w:rFonts w:ascii="Arial" w:hAnsi="Arial"/>
          <w:b w:val="0"/>
          <w:sz w:val="22"/>
        </w:rPr>
        <w:t>, 2</w:t>
      </w:r>
      <w:r>
        <w:rPr>
          <w:rFonts w:ascii="Arial" w:hAnsi="Arial"/>
          <w:b w:val="0"/>
          <w:sz w:val="22"/>
          <w:vertAlign w:val="superscript"/>
        </w:rPr>
        <w:t>nd</w:t>
      </w:r>
      <w:r>
        <w:rPr>
          <w:rFonts w:ascii="Arial" w:hAnsi="Arial"/>
          <w:b w:val="0"/>
          <w:sz w:val="22"/>
        </w:rPr>
        <w:t xml:space="preserve"> floor, Pleasant Hill, CA 94523-</w:t>
      </w:r>
      <w:r w:rsidR="00BD1E2D">
        <w:rPr>
          <w:rFonts w:ascii="Arial" w:hAnsi="Arial"/>
          <w:b w:val="0"/>
          <w:sz w:val="22"/>
        </w:rPr>
        <w:t>4215 (</w:t>
      </w:r>
      <w:r>
        <w:rPr>
          <w:rFonts w:ascii="Arial" w:hAnsi="Arial"/>
          <w:b w:val="0"/>
          <w:sz w:val="22"/>
        </w:rPr>
        <w:t>925) 646-6</w:t>
      </w:r>
      <w:r w:rsidR="003F7219">
        <w:rPr>
          <w:rFonts w:ascii="Arial" w:hAnsi="Arial"/>
          <w:b w:val="0"/>
          <w:sz w:val="22"/>
        </w:rPr>
        <w:t>129</w:t>
      </w:r>
    </w:p>
    <w:p w:rsidR="00A4550F" w:rsidRDefault="008D604E">
      <w:pPr>
        <w:jc w:val="center"/>
        <w:rPr>
          <w:rFonts w:ascii="Arial" w:hAnsi="Arial"/>
          <w:b w:val="0"/>
          <w:sz w:val="22"/>
        </w:rPr>
      </w:pPr>
      <w:proofErr w:type="spellStart"/>
      <w:r>
        <w:rPr>
          <w:rFonts w:ascii="Arial" w:hAnsi="Arial"/>
          <w:b w:val="0"/>
          <w:sz w:val="22"/>
        </w:rPr>
        <w:t>Knightsen</w:t>
      </w:r>
      <w:proofErr w:type="spellEnd"/>
      <w:r w:rsidR="00825255">
        <w:rPr>
          <w:rFonts w:ascii="Arial" w:hAnsi="Arial"/>
          <w:b w:val="0"/>
          <w:sz w:val="22"/>
        </w:rPr>
        <w:t xml:space="preserve"> Farm Center, Delta Rd. &amp; </w:t>
      </w:r>
      <w:smartTag w:uri="urn:schemas-microsoft-com:office:smarttags" w:element="Street">
        <w:smartTag w:uri="urn:schemas-microsoft-com:office:smarttags" w:element="address">
          <w:r w:rsidR="00825255">
            <w:rPr>
              <w:rFonts w:ascii="Arial" w:hAnsi="Arial"/>
              <w:b w:val="0"/>
              <w:sz w:val="22"/>
            </w:rPr>
            <w:t>2</w:t>
          </w:r>
          <w:r w:rsidR="00825255" w:rsidRPr="00825255">
            <w:rPr>
              <w:rFonts w:ascii="Arial" w:hAnsi="Arial"/>
              <w:b w:val="0"/>
              <w:sz w:val="22"/>
              <w:vertAlign w:val="superscript"/>
            </w:rPr>
            <w:t>nd</w:t>
          </w:r>
          <w:r w:rsidR="00825255">
            <w:rPr>
              <w:rFonts w:ascii="Arial" w:hAnsi="Arial"/>
              <w:b w:val="0"/>
              <w:sz w:val="22"/>
            </w:rPr>
            <w:t xml:space="preserve"> St.</w:t>
          </w:r>
        </w:smartTag>
      </w:smartTag>
      <w:r w:rsidR="00825255">
        <w:rPr>
          <w:rFonts w:ascii="Arial" w:hAnsi="Arial"/>
          <w:b w:val="0"/>
          <w:sz w:val="22"/>
        </w:rPr>
        <w:t xml:space="preserve">, </w:t>
      </w:r>
      <w:proofErr w:type="spellStart"/>
      <w:r w:rsidR="00825255">
        <w:rPr>
          <w:rFonts w:ascii="Arial" w:hAnsi="Arial"/>
          <w:b w:val="0"/>
          <w:sz w:val="22"/>
        </w:rPr>
        <w:t>Knightsen</w:t>
      </w:r>
      <w:proofErr w:type="spellEnd"/>
      <w:r w:rsidR="00825255">
        <w:rPr>
          <w:rFonts w:ascii="Arial" w:hAnsi="Arial"/>
          <w:b w:val="0"/>
          <w:sz w:val="22"/>
        </w:rPr>
        <w:t xml:space="preserve"> </w:t>
      </w:r>
    </w:p>
    <w:p w:rsidR="00974293" w:rsidRDefault="00974293" w:rsidP="00DC3E96">
      <w:pPr>
        <w:ind w:left="8640" w:firstLine="720"/>
        <w:jc w:val="center"/>
        <w:rPr>
          <w:b w:val="0"/>
        </w:rPr>
      </w:pPr>
    </w:p>
    <w:p w:rsidR="00A4550F" w:rsidRDefault="00155101" w:rsidP="00EA1845">
      <w:pPr>
        <w:ind w:left="8640"/>
        <w:rPr>
          <w:b w:val="0"/>
        </w:rPr>
      </w:pPr>
      <w:r>
        <w:rPr>
          <w:b w:val="0"/>
        </w:rPr>
        <w:t xml:space="preserve">          </w:t>
      </w:r>
      <w:r w:rsidR="008D604E">
        <w:rPr>
          <w:b w:val="0"/>
        </w:rPr>
        <w:t>May 1</w:t>
      </w:r>
      <w:r w:rsidR="007E66AE">
        <w:rPr>
          <w:b w:val="0"/>
        </w:rPr>
        <w:t>, 20</w:t>
      </w:r>
      <w:r w:rsidR="00DC3E96">
        <w:rPr>
          <w:b w:val="0"/>
        </w:rPr>
        <w:t>1</w:t>
      </w:r>
      <w:r w:rsidR="008D604E">
        <w:rPr>
          <w:b w:val="0"/>
        </w:rPr>
        <w:t>7</w:t>
      </w:r>
    </w:p>
    <w:p w:rsidR="00A4550F" w:rsidRDefault="00A4550F">
      <w:pPr>
        <w:pStyle w:val="Heading3"/>
        <w:rPr>
          <w:b w:val="0"/>
          <w:sz w:val="40"/>
        </w:rPr>
      </w:pPr>
      <w:r>
        <w:rPr>
          <w:sz w:val="40"/>
        </w:rPr>
        <w:t>PEACH TWIG BORER</w:t>
      </w:r>
    </w:p>
    <w:p w:rsidR="00A4550F" w:rsidRDefault="00A4550F">
      <w:pPr>
        <w:jc w:val="right"/>
        <w:rPr>
          <w:b w:val="0"/>
        </w:rPr>
      </w:pPr>
    </w:p>
    <w:p w:rsidR="00A4550F" w:rsidRPr="00AD17D7" w:rsidRDefault="00A4550F">
      <w:pPr>
        <w:rPr>
          <w:b w:val="0"/>
          <w:szCs w:val="24"/>
        </w:rPr>
      </w:pPr>
      <w:r w:rsidRPr="00AD17D7">
        <w:rPr>
          <w:szCs w:val="24"/>
        </w:rPr>
        <w:t xml:space="preserve">HOST CROPS: </w:t>
      </w:r>
      <w:r w:rsidRPr="00AD17D7">
        <w:rPr>
          <w:b w:val="0"/>
          <w:szCs w:val="24"/>
        </w:rPr>
        <w:t>Almonds, Apricots, Peaches, Nectarines, Plums</w:t>
      </w:r>
    </w:p>
    <w:p w:rsidR="00A4550F" w:rsidRPr="00AD17D7" w:rsidRDefault="00A4550F">
      <w:pPr>
        <w:rPr>
          <w:b w:val="0"/>
          <w:szCs w:val="24"/>
        </w:rPr>
      </w:pPr>
    </w:p>
    <w:p w:rsidR="002D5285" w:rsidRPr="00AD17D7" w:rsidRDefault="00A4550F" w:rsidP="002D5285">
      <w:pPr>
        <w:rPr>
          <w:b w:val="0"/>
          <w:szCs w:val="24"/>
        </w:rPr>
      </w:pPr>
      <w:r w:rsidRPr="00AD17D7">
        <w:rPr>
          <w:szCs w:val="24"/>
        </w:rPr>
        <w:t xml:space="preserve">BIOFIX:  </w:t>
      </w:r>
      <w:r w:rsidRPr="00AD17D7">
        <w:rPr>
          <w:b w:val="0"/>
          <w:szCs w:val="24"/>
        </w:rPr>
        <w:t xml:space="preserve">Flight </w:t>
      </w:r>
      <w:r w:rsidR="00B33E2B" w:rsidRPr="00AD17D7">
        <w:rPr>
          <w:b w:val="0"/>
          <w:szCs w:val="24"/>
        </w:rPr>
        <w:t xml:space="preserve">started </w:t>
      </w:r>
      <w:r w:rsidR="00155101" w:rsidRPr="00AD17D7">
        <w:rPr>
          <w:b w:val="0"/>
          <w:szCs w:val="24"/>
        </w:rPr>
        <w:t xml:space="preserve">in most orchards between </w:t>
      </w:r>
      <w:r w:rsidR="008D604E">
        <w:rPr>
          <w:b w:val="0"/>
          <w:szCs w:val="24"/>
        </w:rPr>
        <w:t>April 3</w:t>
      </w:r>
      <w:r w:rsidR="008D604E" w:rsidRPr="008D604E">
        <w:rPr>
          <w:b w:val="0"/>
          <w:szCs w:val="24"/>
          <w:vertAlign w:val="superscript"/>
        </w:rPr>
        <w:t>rd</w:t>
      </w:r>
      <w:r w:rsidR="008D604E">
        <w:rPr>
          <w:b w:val="0"/>
          <w:szCs w:val="24"/>
        </w:rPr>
        <w:t xml:space="preserve"> and 6</w:t>
      </w:r>
      <w:r w:rsidR="008D604E" w:rsidRPr="008D604E">
        <w:rPr>
          <w:b w:val="0"/>
          <w:szCs w:val="24"/>
          <w:vertAlign w:val="superscript"/>
        </w:rPr>
        <w:t>t</w:t>
      </w:r>
      <w:r w:rsidR="008D604E">
        <w:rPr>
          <w:b w:val="0"/>
          <w:szCs w:val="24"/>
          <w:vertAlign w:val="superscript"/>
        </w:rPr>
        <w:t>h</w:t>
      </w:r>
      <w:r w:rsidR="00605086" w:rsidRPr="00AD17D7">
        <w:rPr>
          <w:b w:val="0"/>
          <w:szCs w:val="24"/>
        </w:rPr>
        <w:t xml:space="preserve">.  I’m setting a general </w:t>
      </w:r>
      <w:proofErr w:type="spellStart"/>
      <w:r w:rsidR="00974293" w:rsidRPr="00AD17D7">
        <w:rPr>
          <w:b w:val="0"/>
          <w:szCs w:val="24"/>
        </w:rPr>
        <w:t>areawide</w:t>
      </w:r>
      <w:proofErr w:type="spellEnd"/>
      <w:r w:rsidR="00974293" w:rsidRPr="00AD17D7">
        <w:rPr>
          <w:b w:val="0"/>
          <w:szCs w:val="24"/>
        </w:rPr>
        <w:t xml:space="preserve"> </w:t>
      </w:r>
      <w:proofErr w:type="spellStart"/>
      <w:r w:rsidR="00974293" w:rsidRPr="00AD17D7">
        <w:rPr>
          <w:b w:val="0"/>
          <w:szCs w:val="24"/>
        </w:rPr>
        <w:t>b</w:t>
      </w:r>
      <w:r w:rsidR="002D5285" w:rsidRPr="00AD17D7">
        <w:rPr>
          <w:b w:val="0"/>
          <w:szCs w:val="24"/>
        </w:rPr>
        <w:t>iofix</w:t>
      </w:r>
      <w:proofErr w:type="spellEnd"/>
      <w:r w:rsidR="002D5285" w:rsidRPr="00AD17D7">
        <w:rPr>
          <w:b w:val="0"/>
          <w:szCs w:val="24"/>
        </w:rPr>
        <w:t xml:space="preserve"> </w:t>
      </w:r>
      <w:r w:rsidR="00605086" w:rsidRPr="00AD17D7">
        <w:rPr>
          <w:b w:val="0"/>
          <w:szCs w:val="24"/>
        </w:rPr>
        <w:t>of</w:t>
      </w:r>
      <w:r w:rsidR="002D5285" w:rsidRPr="00AD17D7">
        <w:rPr>
          <w:b w:val="0"/>
          <w:szCs w:val="24"/>
        </w:rPr>
        <w:t xml:space="preserve"> </w:t>
      </w:r>
      <w:r w:rsidR="00B33E2B" w:rsidRPr="00AD17D7">
        <w:rPr>
          <w:szCs w:val="24"/>
        </w:rPr>
        <w:t xml:space="preserve">April </w:t>
      </w:r>
      <w:r w:rsidR="008D604E">
        <w:rPr>
          <w:szCs w:val="24"/>
        </w:rPr>
        <w:t>4</w:t>
      </w:r>
      <w:r w:rsidR="00555840" w:rsidRPr="00AD17D7">
        <w:rPr>
          <w:szCs w:val="24"/>
        </w:rPr>
        <w:t xml:space="preserve">. </w:t>
      </w:r>
      <w:r w:rsidR="002D5285" w:rsidRPr="00AD17D7">
        <w:rPr>
          <w:b w:val="0"/>
          <w:szCs w:val="24"/>
        </w:rPr>
        <w:t xml:space="preserve"> </w:t>
      </w:r>
      <w:r w:rsidR="00555840" w:rsidRPr="00AD17D7">
        <w:rPr>
          <w:b w:val="0"/>
          <w:szCs w:val="24"/>
        </w:rPr>
        <w:t xml:space="preserve">If </w:t>
      </w:r>
      <w:r w:rsidR="00605086" w:rsidRPr="00AD17D7">
        <w:rPr>
          <w:b w:val="0"/>
          <w:szCs w:val="24"/>
        </w:rPr>
        <w:t xml:space="preserve">your own traps show that consistent </w:t>
      </w:r>
      <w:r w:rsidR="00555840" w:rsidRPr="00AD17D7">
        <w:rPr>
          <w:b w:val="0"/>
          <w:szCs w:val="24"/>
        </w:rPr>
        <w:t xml:space="preserve">flight started on a different day in your orchard, use that as your own orchard </w:t>
      </w:r>
      <w:proofErr w:type="spellStart"/>
      <w:r w:rsidR="00555840" w:rsidRPr="00AD17D7">
        <w:rPr>
          <w:b w:val="0"/>
          <w:szCs w:val="24"/>
        </w:rPr>
        <w:t>biofix</w:t>
      </w:r>
      <w:proofErr w:type="spellEnd"/>
      <w:r w:rsidR="00555840" w:rsidRPr="00AD17D7">
        <w:rPr>
          <w:b w:val="0"/>
          <w:szCs w:val="24"/>
        </w:rPr>
        <w:t>.</w:t>
      </w:r>
    </w:p>
    <w:p w:rsidR="00A4550F" w:rsidRPr="00AD17D7" w:rsidRDefault="002D5285">
      <w:pPr>
        <w:rPr>
          <w:b w:val="0"/>
          <w:szCs w:val="24"/>
        </w:rPr>
      </w:pPr>
      <w:r w:rsidRPr="00AD17D7">
        <w:rPr>
          <w:b w:val="0"/>
          <w:szCs w:val="24"/>
        </w:rPr>
        <w:t xml:space="preserve"> </w:t>
      </w:r>
    </w:p>
    <w:p w:rsidR="003107E0" w:rsidRDefault="00A4550F">
      <w:pPr>
        <w:rPr>
          <w:b w:val="0"/>
          <w:szCs w:val="24"/>
        </w:rPr>
      </w:pPr>
      <w:r w:rsidRPr="00AD17D7">
        <w:rPr>
          <w:szCs w:val="24"/>
        </w:rPr>
        <w:t>TREATMENT AND TIMING</w:t>
      </w:r>
      <w:r w:rsidRPr="00AD17D7">
        <w:rPr>
          <w:b w:val="0"/>
          <w:szCs w:val="24"/>
        </w:rPr>
        <w:t xml:space="preserve">: In-season sprays may be needed to protect fruit and nuts from damage </w:t>
      </w:r>
      <w:r w:rsidR="003107E0" w:rsidRPr="00AD17D7">
        <w:rPr>
          <w:b w:val="0"/>
          <w:szCs w:val="24"/>
        </w:rPr>
        <w:t xml:space="preserve">only </w:t>
      </w:r>
      <w:r w:rsidRPr="00AD17D7">
        <w:rPr>
          <w:b w:val="0"/>
          <w:szCs w:val="24"/>
        </w:rPr>
        <w:t>if you have significant trap counts.  This will be especially important if you did not apply a dormant spray or bloom sprays</w:t>
      </w:r>
      <w:r w:rsidR="00C3390F">
        <w:rPr>
          <w:b w:val="0"/>
          <w:szCs w:val="24"/>
        </w:rPr>
        <w:t xml:space="preserve"> for PTB</w:t>
      </w:r>
      <w:r w:rsidRPr="00AD17D7">
        <w:rPr>
          <w:b w:val="0"/>
          <w:szCs w:val="24"/>
        </w:rPr>
        <w:t xml:space="preserve">. Effective control can be achieved by applying most sprays 400-500 degree days (DD) after </w:t>
      </w:r>
      <w:proofErr w:type="spellStart"/>
      <w:r w:rsidRPr="00AD17D7">
        <w:rPr>
          <w:b w:val="0"/>
          <w:szCs w:val="24"/>
        </w:rPr>
        <w:t>biofix</w:t>
      </w:r>
      <w:proofErr w:type="spellEnd"/>
      <w:r w:rsidRPr="00AD17D7">
        <w:rPr>
          <w:b w:val="0"/>
          <w:szCs w:val="24"/>
        </w:rPr>
        <w:t xml:space="preserve">. </w:t>
      </w:r>
      <w:r w:rsidR="00A27CFC">
        <w:rPr>
          <w:b w:val="0"/>
          <w:szCs w:val="24"/>
        </w:rPr>
        <w:t>T</w:t>
      </w:r>
      <w:r w:rsidRPr="00AD17D7">
        <w:rPr>
          <w:b w:val="0"/>
          <w:szCs w:val="24"/>
        </w:rPr>
        <w:t xml:space="preserve">his is projected to occur </w:t>
      </w:r>
      <w:r w:rsidRPr="00A27CFC">
        <w:rPr>
          <w:szCs w:val="24"/>
        </w:rPr>
        <w:t xml:space="preserve">May </w:t>
      </w:r>
      <w:r w:rsidR="008D604E" w:rsidRPr="00A27CFC">
        <w:rPr>
          <w:szCs w:val="24"/>
        </w:rPr>
        <w:t>1</w:t>
      </w:r>
      <w:r w:rsidR="00A27CFC" w:rsidRPr="00A27CFC">
        <w:rPr>
          <w:szCs w:val="24"/>
        </w:rPr>
        <w:t>0</w:t>
      </w:r>
      <w:r w:rsidR="003C2D9D">
        <w:rPr>
          <w:szCs w:val="24"/>
        </w:rPr>
        <w:t xml:space="preserve"> </w:t>
      </w:r>
      <w:r w:rsidR="008D604E" w:rsidRPr="00A27CFC">
        <w:rPr>
          <w:szCs w:val="24"/>
        </w:rPr>
        <w:t>-</w:t>
      </w:r>
      <w:r w:rsidR="003C2D9D">
        <w:rPr>
          <w:szCs w:val="24"/>
        </w:rPr>
        <w:t xml:space="preserve"> </w:t>
      </w:r>
      <w:bookmarkStart w:id="0" w:name="_GoBack"/>
      <w:bookmarkEnd w:id="0"/>
      <w:r w:rsidR="008D604E" w:rsidRPr="00A27CFC">
        <w:rPr>
          <w:szCs w:val="24"/>
        </w:rPr>
        <w:t>1</w:t>
      </w:r>
      <w:r w:rsidR="00A27CFC" w:rsidRPr="00A27CFC">
        <w:rPr>
          <w:szCs w:val="24"/>
        </w:rPr>
        <w:t>7</w:t>
      </w:r>
      <w:r w:rsidRPr="00A27CFC">
        <w:rPr>
          <w:szCs w:val="24"/>
        </w:rPr>
        <w:t xml:space="preserve"> </w:t>
      </w:r>
      <w:r w:rsidR="00876DA1" w:rsidRPr="00A27CFC">
        <w:rPr>
          <w:b w:val="0"/>
          <w:szCs w:val="24"/>
          <w:u w:val="single"/>
        </w:rPr>
        <w:t>OR</w:t>
      </w:r>
      <w:r w:rsidR="00876DA1" w:rsidRPr="00A27CFC">
        <w:rPr>
          <w:b w:val="0"/>
          <w:szCs w:val="24"/>
        </w:rPr>
        <w:t xml:space="preserve"> </w:t>
      </w:r>
      <w:r w:rsidR="00EA1845" w:rsidRPr="00A27CFC">
        <w:rPr>
          <w:szCs w:val="24"/>
        </w:rPr>
        <w:t>3</w:t>
      </w:r>
      <w:r w:rsidR="00A27CFC" w:rsidRPr="00A27CFC">
        <w:rPr>
          <w:szCs w:val="24"/>
        </w:rPr>
        <w:t>6</w:t>
      </w:r>
      <w:r w:rsidR="00EA1845" w:rsidRPr="00A27CFC">
        <w:rPr>
          <w:szCs w:val="24"/>
        </w:rPr>
        <w:t>-</w:t>
      </w:r>
      <w:r w:rsidR="008D604E" w:rsidRPr="00A27CFC">
        <w:rPr>
          <w:szCs w:val="24"/>
        </w:rPr>
        <w:t>4</w:t>
      </w:r>
      <w:r w:rsidR="00A27CFC" w:rsidRPr="00A27CFC">
        <w:rPr>
          <w:szCs w:val="24"/>
        </w:rPr>
        <w:t>3</w:t>
      </w:r>
      <w:r w:rsidRPr="00AD17D7">
        <w:rPr>
          <w:szCs w:val="24"/>
        </w:rPr>
        <w:t xml:space="preserve"> days after you</w:t>
      </w:r>
      <w:r w:rsidR="00F02CC6" w:rsidRPr="00AD17D7">
        <w:rPr>
          <w:szCs w:val="24"/>
        </w:rPr>
        <w:t xml:space="preserve">r own orchard </w:t>
      </w:r>
      <w:proofErr w:type="spellStart"/>
      <w:r w:rsidR="00F02CC6" w:rsidRPr="00AD17D7">
        <w:rPr>
          <w:szCs w:val="24"/>
        </w:rPr>
        <w:t>biofix</w:t>
      </w:r>
      <w:proofErr w:type="spellEnd"/>
      <w:r w:rsidR="00B33E2B" w:rsidRPr="00AD17D7">
        <w:rPr>
          <w:szCs w:val="24"/>
        </w:rPr>
        <w:t xml:space="preserve">. </w:t>
      </w:r>
      <w:r w:rsidR="00A27CFC" w:rsidRPr="00A27CFC">
        <w:rPr>
          <w:b w:val="0"/>
          <w:szCs w:val="24"/>
        </w:rPr>
        <w:t>If weather is warmer than average or</w:t>
      </w:r>
      <w:r w:rsidR="00A27CFC">
        <w:rPr>
          <w:szCs w:val="24"/>
        </w:rPr>
        <w:t xml:space="preserve"> </w:t>
      </w:r>
      <w:r w:rsidR="00A27CFC">
        <w:rPr>
          <w:b w:val="0"/>
          <w:szCs w:val="24"/>
        </w:rPr>
        <w:t>in o</w:t>
      </w:r>
      <w:r w:rsidR="00F02CC6" w:rsidRPr="00AD17D7">
        <w:rPr>
          <w:b w:val="0"/>
          <w:szCs w:val="24"/>
        </w:rPr>
        <w:t>rchards with heavy flight</w:t>
      </w:r>
      <w:r w:rsidR="003C2D9D">
        <w:rPr>
          <w:b w:val="0"/>
          <w:szCs w:val="24"/>
        </w:rPr>
        <w:t>,</w:t>
      </w:r>
      <w:r w:rsidR="00F02CC6" w:rsidRPr="00AD17D7">
        <w:rPr>
          <w:b w:val="0"/>
          <w:szCs w:val="24"/>
        </w:rPr>
        <w:t xml:space="preserve"> spray </w:t>
      </w:r>
      <w:r w:rsidR="003C2D9D">
        <w:rPr>
          <w:b w:val="0"/>
          <w:szCs w:val="24"/>
        </w:rPr>
        <w:t xml:space="preserve">during the </w:t>
      </w:r>
      <w:r w:rsidR="00F02CC6" w:rsidRPr="00AD17D7">
        <w:rPr>
          <w:b w:val="0"/>
          <w:szCs w:val="24"/>
        </w:rPr>
        <w:t xml:space="preserve">earlier </w:t>
      </w:r>
      <w:r w:rsidR="003C2D9D">
        <w:rPr>
          <w:b w:val="0"/>
          <w:szCs w:val="24"/>
        </w:rPr>
        <w:t xml:space="preserve">part of the window. If weather is cooler than normal or in orchards </w:t>
      </w:r>
      <w:r w:rsidR="00F02CC6" w:rsidRPr="00AD17D7">
        <w:rPr>
          <w:b w:val="0"/>
          <w:szCs w:val="24"/>
        </w:rPr>
        <w:t>with light populations</w:t>
      </w:r>
      <w:r w:rsidR="003C2D9D">
        <w:rPr>
          <w:b w:val="0"/>
          <w:szCs w:val="24"/>
        </w:rPr>
        <w:t xml:space="preserve">, </w:t>
      </w:r>
      <w:r w:rsidR="00F02CC6" w:rsidRPr="00AD17D7">
        <w:rPr>
          <w:b w:val="0"/>
          <w:szCs w:val="24"/>
        </w:rPr>
        <w:t xml:space="preserve">spray later in the window. </w:t>
      </w:r>
    </w:p>
    <w:p w:rsidR="003C2D9D" w:rsidRPr="00AD17D7" w:rsidRDefault="003C2D9D">
      <w:pPr>
        <w:rPr>
          <w:b w:val="0"/>
          <w:szCs w:val="24"/>
        </w:rPr>
      </w:pPr>
    </w:p>
    <w:p w:rsidR="00825255" w:rsidRPr="00AD17D7" w:rsidRDefault="00A4550F">
      <w:pPr>
        <w:rPr>
          <w:b w:val="0"/>
          <w:szCs w:val="24"/>
        </w:rPr>
      </w:pPr>
      <w:r w:rsidRPr="00AD17D7">
        <w:rPr>
          <w:b w:val="0"/>
          <w:szCs w:val="24"/>
        </w:rPr>
        <w:t xml:space="preserve">The table below lists some of the materials which can be used to control PTB. </w:t>
      </w:r>
      <w:r w:rsidR="003F6A00">
        <w:rPr>
          <w:b w:val="0"/>
          <w:szCs w:val="24"/>
        </w:rPr>
        <w:t xml:space="preserve">If you are close to harvest, select a material with a sufficient Pre-harvest Interval for that crop (double check </w:t>
      </w:r>
      <w:r w:rsidR="00FA2719">
        <w:rPr>
          <w:b w:val="0"/>
          <w:szCs w:val="24"/>
        </w:rPr>
        <w:t>the figures below with your label</w:t>
      </w:r>
      <w:r w:rsidR="003F6A00">
        <w:rPr>
          <w:b w:val="0"/>
          <w:szCs w:val="24"/>
        </w:rPr>
        <w:t xml:space="preserve">). </w:t>
      </w:r>
      <w:r w:rsidR="00F02CC6" w:rsidRPr="00AD17D7">
        <w:rPr>
          <w:b w:val="0"/>
          <w:szCs w:val="24"/>
        </w:rPr>
        <w:t>Delegate,</w:t>
      </w:r>
      <w:r w:rsidR="00974293" w:rsidRPr="00AD17D7">
        <w:rPr>
          <w:b w:val="0"/>
          <w:szCs w:val="24"/>
        </w:rPr>
        <w:t xml:space="preserve"> </w:t>
      </w:r>
      <w:proofErr w:type="spellStart"/>
      <w:r w:rsidR="00974293" w:rsidRPr="00AD17D7">
        <w:rPr>
          <w:b w:val="0"/>
          <w:szCs w:val="24"/>
        </w:rPr>
        <w:t>Altacor</w:t>
      </w:r>
      <w:proofErr w:type="spellEnd"/>
      <w:r w:rsidR="00974293" w:rsidRPr="00AD17D7">
        <w:rPr>
          <w:b w:val="0"/>
          <w:szCs w:val="24"/>
        </w:rPr>
        <w:t>, Belt, Entrust,</w:t>
      </w:r>
      <w:r w:rsidR="00F02CC6" w:rsidRPr="00AD17D7">
        <w:rPr>
          <w:b w:val="0"/>
          <w:szCs w:val="24"/>
        </w:rPr>
        <w:t xml:space="preserve"> </w:t>
      </w:r>
      <w:r w:rsidR="00A322E1" w:rsidRPr="00AD17D7">
        <w:rPr>
          <w:b w:val="0"/>
          <w:szCs w:val="24"/>
        </w:rPr>
        <w:t>Intrepid</w:t>
      </w:r>
      <w:r w:rsidR="003107E0" w:rsidRPr="00AD17D7">
        <w:rPr>
          <w:b w:val="0"/>
          <w:szCs w:val="24"/>
        </w:rPr>
        <w:t xml:space="preserve"> and BT can be</w:t>
      </w:r>
      <w:r w:rsidR="002D5285" w:rsidRPr="00AD17D7">
        <w:rPr>
          <w:b w:val="0"/>
          <w:szCs w:val="24"/>
        </w:rPr>
        <w:t xml:space="preserve"> very effective, </w:t>
      </w:r>
      <w:r w:rsidRPr="00AD17D7">
        <w:rPr>
          <w:b w:val="0"/>
          <w:szCs w:val="24"/>
        </w:rPr>
        <w:t>have very low human toxicity</w:t>
      </w:r>
      <w:r w:rsidR="002D5285" w:rsidRPr="00AD17D7">
        <w:rPr>
          <w:b w:val="0"/>
          <w:szCs w:val="24"/>
        </w:rPr>
        <w:t>,</w:t>
      </w:r>
      <w:r w:rsidRPr="00AD17D7">
        <w:rPr>
          <w:b w:val="0"/>
          <w:szCs w:val="24"/>
        </w:rPr>
        <w:t xml:space="preserve"> and are less likely to disrupt beneficial insects.</w:t>
      </w:r>
      <w:r w:rsidR="00A72326" w:rsidRPr="00AD17D7">
        <w:rPr>
          <w:b w:val="0"/>
          <w:szCs w:val="24"/>
        </w:rPr>
        <w:t xml:space="preserve"> </w:t>
      </w:r>
      <w:r w:rsidR="005B06E5" w:rsidRPr="00AD17D7">
        <w:rPr>
          <w:b w:val="0"/>
          <w:szCs w:val="24"/>
        </w:rPr>
        <w:t xml:space="preserve"> Note the variation in treatment timing for BT and Intrepid in the table below. </w:t>
      </w:r>
      <w:r w:rsidR="00A522D9" w:rsidRPr="00AD17D7">
        <w:rPr>
          <w:b w:val="0"/>
          <w:szCs w:val="24"/>
        </w:rPr>
        <w:t xml:space="preserve">More information can be found at the UC IPM website: </w:t>
      </w:r>
      <w:hyperlink r:id="rId6" w:history="1">
        <w:r w:rsidR="00A522D9" w:rsidRPr="00AD17D7">
          <w:rPr>
            <w:rStyle w:val="Hyperlink"/>
            <w:b w:val="0"/>
            <w:szCs w:val="24"/>
          </w:rPr>
          <w:t>http://www.ipm.ucdavis.edu</w:t>
        </w:r>
      </w:hyperlink>
    </w:p>
    <w:p w:rsidR="00A4550F" w:rsidRPr="0079612F" w:rsidRDefault="00A4550F">
      <w:pPr>
        <w:rPr>
          <w:b w:val="0"/>
          <w:sz w:val="12"/>
          <w:szCs w:val="12"/>
        </w:rPr>
      </w:pPr>
    </w:p>
    <w:tbl>
      <w:tblPr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1234"/>
        <w:gridCol w:w="1350"/>
        <w:gridCol w:w="1260"/>
        <w:gridCol w:w="1080"/>
        <w:gridCol w:w="1080"/>
        <w:gridCol w:w="1170"/>
        <w:gridCol w:w="1080"/>
      </w:tblGrid>
      <w:tr w:rsidR="005B06E5">
        <w:trPr>
          <w:trHeight w:val="260"/>
        </w:trPr>
        <w:tc>
          <w:tcPr>
            <w:tcW w:w="2006" w:type="dxa"/>
            <w:vMerge w:val="restart"/>
          </w:tcPr>
          <w:p w:rsidR="005B06E5" w:rsidRPr="00A322E1" w:rsidRDefault="005B06E5">
            <w:pPr>
              <w:pStyle w:val="Heading4"/>
              <w:rPr>
                <w:b w:val="0"/>
                <w:sz w:val="22"/>
                <w:szCs w:val="22"/>
              </w:rPr>
            </w:pPr>
            <w:r w:rsidRPr="00A322E1">
              <w:rPr>
                <w:sz w:val="22"/>
                <w:szCs w:val="22"/>
              </w:rPr>
              <w:t>Material</w:t>
            </w:r>
          </w:p>
        </w:tc>
        <w:tc>
          <w:tcPr>
            <w:tcW w:w="3844" w:type="dxa"/>
            <w:gridSpan w:val="3"/>
          </w:tcPr>
          <w:p w:rsidR="005B06E5" w:rsidRPr="00A322E1" w:rsidRDefault="005B06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Treatment Timing</w:t>
            </w:r>
          </w:p>
        </w:tc>
        <w:tc>
          <w:tcPr>
            <w:tcW w:w="1080" w:type="dxa"/>
          </w:tcPr>
          <w:p w:rsidR="005B06E5" w:rsidRPr="00A322E1" w:rsidRDefault="005B06E5">
            <w:pPr>
              <w:jc w:val="center"/>
              <w:rPr>
                <w:sz w:val="22"/>
                <w:szCs w:val="22"/>
              </w:rPr>
            </w:pPr>
            <w:r w:rsidRPr="00A322E1">
              <w:rPr>
                <w:sz w:val="22"/>
                <w:szCs w:val="22"/>
              </w:rPr>
              <w:t>Almond</w:t>
            </w:r>
          </w:p>
        </w:tc>
        <w:tc>
          <w:tcPr>
            <w:tcW w:w="1080" w:type="dxa"/>
          </w:tcPr>
          <w:p w:rsidR="005B06E5" w:rsidRPr="00A322E1" w:rsidRDefault="005B06E5">
            <w:pPr>
              <w:pStyle w:val="Heading1"/>
              <w:rPr>
                <w:sz w:val="22"/>
                <w:szCs w:val="22"/>
              </w:rPr>
            </w:pPr>
            <w:r w:rsidRPr="00A322E1">
              <w:rPr>
                <w:sz w:val="22"/>
                <w:szCs w:val="22"/>
              </w:rPr>
              <w:t>Apricot</w:t>
            </w:r>
          </w:p>
        </w:tc>
        <w:tc>
          <w:tcPr>
            <w:tcW w:w="1170" w:type="dxa"/>
          </w:tcPr>
          <w:p w:rsidR="005B06E5" w:rsidRPr="00A322E1" w:rsidRDefault="005B06E5">
            <w:pPr>
              <w:rPr>
                <w:sz w:val="22"/>
                <w:szCs w:val="22"/>
              </w:rPr>
            </w:pPr>
            <w:r w:rsidRPr="00A322E1">
              <w:rPr>
                <w:sz w:val="22"/>
                <w:szCs w:val="22"/>
              </w:rPr>
              <w:t>Nectarine</w:t>
            </w:r>
            <w:r>
              <w:rPr>
                <w:sz w:val="22"/>
                <w:szCs w:val="22"/>
              </w:rPr>
              <w:t xml:space="preserve"> &amp; Peach</w:t>
            </w:r>
          </w:p>
        </w:tc>
        <w:tc>
          <w:tcPr>
            <w:tcW w:w="1080" w:type="dxa"/>
          </w:tcPr>
          <w:p w:rsidR="005B06E5" w:rsidRPr="00A322E1" w:rsidRDefault="005B06E5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r w:rsidRPr="00A322E1">
                <w:rPr>
                  <w:sz w:val="22"/>
                  <w:szCs w:val="22"/>
                </w:rPr>
                <w:t>Plum</w:t>
              </w:r>
            </w:smartTag>
          </w:p>
        </w:tc>
      </w:tr>
      <w:tr w:rsidR="0042109C" w:rsidTr="00A1385F">
        <w:trPr>
          <w:trHeight w:val="260"/>
        </w:trPr>
        <w:tc>
          <w:tcPr>
            <w:tcW w:w="2006" w:type="dxa"/>
            <w:vMerge/>
          </w:tcPr>
          <w:p w:rsidR="0042109C" w:rsidRPr="00A322E1" w:rsidRDefault="0042109C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42109C" w:rsidRDefault="0042109C" w:rsidP="00A52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 Days</w:t>
            </w:r>
          </w:p>
        </w:tc>
        <w:tc>
          <w:tcPr>
            <w:tcW w:w="1350" w:type="dxa"/>
          </w:tcPr>
          <w:p w:rsidR="0042109C" w:rsidRDefault="0042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Dates</w:t>
            </w:r>
          </w:p>
        </w:tc>
        <w:tc>
          <w:tcPr>
            <w:tcW w:w="1260" w:type="dxa"/>
            <w:shd w:val="clear" w:color="auto" w:fill="auto"/>
          </w:tcPr>
          <w:p w:rsidR="0042109C" w:rsidRDefault="0042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Days after </w:t>
            </w:r>
            <w:proofErr w:type="spellStart"/>
            <w:r>
              <w:rPr>
                <w:sz w:val="22"/>
                <w:szCs w:val="22"/>
              </w:rPr>
              <w:t>biofix</w:t>
            </w:r>
            <w:proofErr w:type="spellEnd"/>
          </w:p>
        </w:tc>
        <w:tc>
          <w:tcPr>
            <w:tcW w:w="4410" w:type="dxa"/>
            <w:gridSpan w:val="4"/>
          </w:tcPr>
          <w:p w:rsidR="0042109C" w:rsidRPr="00A322E1" w:rsidRDefault="0042109C" w:rsidP="0042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Pre-Harvest Interval (days)</w:t>
            </w:r>
          </w:p>
        </w:tc>
      </w:tr>
      <w:tr w:rsidR="00555840">
        <w:trPr>
          <w:trHeight w:val="240"/>
        </w:trPr>
        <w:tc>
          <w:tcPr>
            <w:tcW w:w="2006" w:type="dxa"/>
          </w:tcPr>
          <w:p w:rsidR="00555840" w:rsidRPr="00A322E1" w:rsidRDefault="00555840" w:rsidP="0097429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Delegate</w:t>
            </w:r>
          </w:p>
        </w:tc>
        <w:tc>
          <w:tcPr>
            <w:tcW w:w="1234" w:type="dxa"/>
          </w:tcPr>
          <w:p w:rsidR="00555840" w:rsidRDefault="00555840" w:rsidP="0097429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400-500</w:t>
            </w:r>
          </w:p>
        </w:tc>
        <w:tc>
          <w:tcPr>
            <w:tcW w:w="1350" w:type="dxa"/>
          </w:tcPr>
          <w:p w:rsidR="00555840" w:rsidRPr="00A27CFC" w:rsidRDefault="00A27CFC" w:rsidP="00C3390F">
            <w:pPr>
              <w:jc w:val="center"/>
              <w:rPr>
                <w:b w:val="0"/>
                <w:sz w:val="22"/>
                <w:szCs w:val="22"/>
              </w:rPr>
            </w:pPr>
            <w:r w:rsidRPr="00A27CFC">
              <w:rPr>
                <w:b w:val="0"/>
                <w:sz w:val="22"/>
                <w:szCs w:val="22"/>
              </w:rPr>
              <w:t>5/10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27CFC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 xml:space="preserve"> 5/</w:t>
            </w:r>
            <w:r w:rsidRPr="00A27CFC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260" w:type="dxa"/>
          </w:tcPr>
          <w:p w:rsidR="00555840" w:rsidRPr="00A27CFC" w:rsidRDefault="00EA1845" w:rsidP="00A27CFC">
            <w:pPr>
              <w:jc w:val="center"/>
              <w:rPr>
                <w:b w:val="0"/>
                <w:sz w:val="22"/>
                <w:szCs w:val="22"/>
              </w:rPr>
            </w:pPr>
            <w:r w:rsidRPr="00A27CFC">
              <w:rPr>
                <w:b w:val="0"/>
                <w:sz w:val="22"/>
                <w:szCs w:val="22"/>
              </w:rPr>
              <w:t>3</w:t>
            </w:r>
            <w:r w:rsidR="00A27CFC" w:rsidRPr="00A27CFC">
              <w:rPr>
                <w:b w:val="0"/>
                <w:sz w:val="22"/>
                <w:szCs w:val="22"/>
              </w:rPr>
              <w:t>6</w:t>
            </w:r>
            <w:r w:rsidR="006B1EBC" w:rsidRPr="00A27CFC">
              <w:rPr>
                <w:b w:val="0"/>
                <w:sz w:val="22"/>
                <w:szCs w:val="22"/>
              </w:rPr>
              <w:t xml:space="preserve"> - </w:t>
            </w:r>
            <w:r w:rsidR="00A27CFC"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1080" w:type="dxa"/>
          </w:tcPr>
          <w:p w:rsidR="00555840" w:rsidRPr="00A322E1" w:rsidRDefault="0042109C" w:rsidP="0097429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55840" w:rsidRPr="00A322E1" w:rsidRDefault="0042109C" w:rsidP="0097429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170" w:type="dxa"/>
          </w:tcPr>
          <w:p w:rsidR="00555840" w:rsidRPr="00A322E1" w:rsidRDefault="0042109C" w:rsidP="0097429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55840" w:rsidRPr="00A322E1" w:rsidRDefault="0042109C" w:rsidP="0097429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</w:tr>
      <w:tr w:rsidR="00A27CFC">
        <w:trPr>
          <w:trHeight w:val="240"/>
        </w:trPr>
        <w:tc>
          <w:tcPr>
            <w:tcW w:w="2006" w:type="dxa"/>
          </w:tcPr>
          <w:p w:rsidR="00A27CFC" w:rsidRPr="00A322E1" w:rsidRDefault="00A27CFC" w:rsidP="00A27CFC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Altacor</w:t>
            </w:r>
            <w:proofErr w:type="spellEnd"/>
          </w:p>
        </w:tc>
        <w:tc>
          <w:tcPr>
            <w:tcW w:w="1234" w:type="dxa"/>
          </w:tcPr>
          <w:p w:rsidR="00A27CFC" w:rsidRPr="00A322E1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400-500</w:t>
            </w:r>
          </w:p>
        </w:tc>
        <w:tc>
          <w:tcPr>
            <w:tcW w:w="1350" w:type="dxa"/>
          </w:tcPr>
          <w:p w:rsidR="00A27CFC" w:rsidRPr="00A27CFC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 w:rsidRPr="00A27CFC">
              <w:rPr>
                <w:b w:val="0"/>
                <w:sz w:val="22"/>
                <w:szCs w:val="22"/>
              </w:rPr>
              <w:t>5/10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27CFC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 xml:space="preserve"> 5/</w:t>
            </w:r>
            <w:r w:rsidRPr="00A27CFC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260" w:type="dxa"/>
          </w:tcPr>
          <w:p w:rsidR="00A27CFC" w:rsidRPr="00A27CFC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 w:rsidRPr="00A27CFC">
              <w:rPr>
                <w:b w:val="0"/>
                <w:sz w:val="22"/>
                <w:szCs w:val="22"/>
              </w:rPr>
              <w:t xml:space="preserve">36 - </w:t>
            </w: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1080" w:type="dxa"/>
          </w:tcPr>
          <w:p w:rsidR="00A27CFC" w:rsidRPr="00A322E1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A27CFC" w:rsidRPr="00A322E1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170" w:type="dxa"/>
          </w:tcPr>
          <w:p w:rsidR="00A27CFC" w:rsidRPr="00A322E1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A27CFC" w:rsidRPr="00A322E1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</w:tr>
      <w:tr w:rsidR="00A27CFC">
        <w:trPr>
          <w:trHeight w:val="240"/>
        </w:trPr>
        <w:tc>
          <w:tcPr>
            <w:tcW w:w="2006" w:type="dxa"/>
          </w:tcPr>
          <w:p w:rsidR="00A27CFC" w:rsidRPr="00A322E1" w:rsidRDefault="00A27CFC" w:rsidP="00A27CF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Belt</w:t>
            </w:r>
          </w:p>
        </w:tc>
        <w:tc>
          <w:tcPr>
            <w:tcW w:w="1234" w:type="dxa"/>
          </w:tcPr>
          <w:p w:rsidR="00A27CFC" w:rsidRPr="00A322E1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400-500</w:t>
            </w:r>
          </w:p>
        </w:tc>
        <w:tc>
          <w:tcPr>
            <w:tcW w:w="1350" w:type="dxa"/>
          </w:tcPr>
          <w:p w:rsidR="00A27CFC" w:rsidRPr="00A27CFC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 w:rsidRPr="00A27CFC">
              <w:rPr>
                <w:b w:val="0"/>
                <w:sz w:val="22"/>
                <w:szCs w:val="22"/>
              </w:rPr>
              <w:t>5/10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27CFC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 xml:space="preserve"> 5/</w:t>
            </w:r>
            <w:r w:rsidRPr="00A27CFC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260" w:type="dxa"/>
          </w:tcPr>
          <w:p w:rsidR="00A27CFC" w:rsidRPr="00A27CFC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 w:rsidRPr="00A27CFC">
              <w:rPr>
                <w:b w:val="0"/>
                <w:sz w:val="22"/>
                <w:szCs w:val="22"/>
              </w:rPr>
              <w:t xml:space="preserve">36 - </w:t>
            </w: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1080" w:type="dxa"/>
          </w:tcPr>
          <w:p w:rsidR="00A27CFC" w:rsidRPr="00A322E1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A27CFC" w:rsidRPr="00A322E1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:rsidR="00A27CFC" w:rsidRPr="00A322E1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A27CFC" w:rsidRPr="00A322E1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</w:tr>
      <w:tr w:rsidR="00A27CFC">
        <w:trPr>
          <w:trHeight w:val="240"/>
        </w:trPr>
        <w:tc>
          <w:tcPr>
            <w:tcW w:w="2006" w:type="dxa"/>
          </w:tcPr>
          <w:p w:rsidR="00A27CFC" w:rsidRPr="00A322E1" w:rsidRDefault="00A27CFC" w:rsidP="00A27CFC">
            <w:pPr>
              <w:rPr>
                <w:b w:val="0"/>
                <w:sz w:val="22"/>
                <w:szCs w:val="22"/>
              </w:rPr>
            </w:pPr>
            <w:r w:rsidRPr="00A322E1">
              <w:rPr>
                <w:b w:val="0"/>
                <w:sz w:val="22"/>
                <w:szCs w:val="22"/>
              </w:rPr>
              <w:t xml:space="preserve">Entrust </w:t>
            </w:r>
            <w:r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4" w:type="dxa"/>
          </w:tcPr>
          <w:p w:rsidR="00A27CFC" w:rsidRPr="00A322E1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400-500 </w:t>
            </w:r>
          </w:p>
        </w:tc>
        <w:tc>
          <w:tcPr>
            <w:tcW w:w="1350" w:type="dxa"/>
          </w:tcPr>
          <w:p w:rsidR="00A27CFC" w:rsidRPr="00A27CFC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 w:rsidRPr="00A27CFC">
              <w:rPr>
                <w:b w:val="0"/>
                <w:sz w:val="22"/>
                <w:szCs w:val="22"/>
              </w:rPr>
              <w:t>5/10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27CFC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 xml:space="preserve"> 5/</w:t>
            </w:r>
            <w:r w:rsidRPr="00A27CFC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260" w:type="dxa"/>
          </w:tcPr>
          <w:p w:rsidR="00A27CFC" w:rsidRPr="00A27CFC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 w:rsidRPr="00A27CFC">
              <w:rPr>
                <w:b w:val="0"/>
                <w:sz w:val="22"/>
                <w:szCs w:val="22"/>
              </w:rPr>
              <w:t xml:space="preserve">36 - </w:t>
            </w: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1080" w:type="dxa"/>
          </w:tcPr>
          <w:p w:rsidR="00A27CFC" w:rsidRPr="00A322E1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27CFC" w:rsidRPr="00A322E1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170" w:type="dxa"/>
          </w:tcPr>
          <w:p w:rsidR="00A27CFC" w:rsidRPr="00A322E1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27CFC" w:rsidRPr="00A322E1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</w:tr>
      <w:tr w:rsidR="00EA1845">
        <w:trPr>
          <w:trHeight w:val="240"/>
        </w:trPr>
        <w:tc>
          <w:tcPr>
            <w:tcW w:w="2006" w:type="dxa"/>
          </w:tcPr>
          <w:p w:rsidR="00EA1845" w:rsidRPr="00A322E1" w:rsidRDefault="00EA1845" w:rsidP="00974293">
            <w:pPr>
              <w:rPr>
                <w:b w:val="0"/>
                <w:sz w:val="22"/>
                <w:szCs w:val="22"/>
              </w:rPr>
            </w:pPr>
            <w:r w:rsidRPr="00A322E1">
              <w:rPr>
                <w:b w:val="0"/>
                <w:sz w:val="22"/>
                <w:szCs w:val="22"/>
              </w:rPr>
              <w:t>Intrepid</w:t>
            </w:r>
          </w:p>
        </w:tc>
        <w:tc>
          <w:tcPr>
            <w:tcW w:w="1234" w:type="dxa"/>
          </w:tcPr>
          <w:p w:rsidR="00EA1845" w:rsidRPr="00A322E1" w:rsidRDefault="00EA1845" w:rsidP="0097429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300-400 </w:t>
            </w:r>
          </w:p>
        </w:tc>
        <w:tc>
          <w:tcPr>
            <w:tcW w:w="1350" w:type="dxa"/>
          </w:tcPr>
          <w:p w:rsidR="00EA1845" w:rsidRPr="00A27CFC" w:rsidRDefault="00A27CFC" w:rsidP="00C91EDC">
            <w:pPr>
              <w:jc w:val="center"/>
              <w:rPr>
                <w:b w:val="0"/>
                <w:sz w:val="22"/>
                <w:szCs w:val="22"/>
              </w:rPr>
            </w:pPr>
            <w:r w:rsidRPr="00A27CFC">
              <w:rPr>
                <w:b w:val="0"/>
                <w:sz w:val="22"/>
                <w:szCs w:val="22"/>
              </w:rPr>
              <w:t>5/3 – 5/10</w:t>
            </w:r>
          </w:p>
        </w:tc>
        <w:tc>
          <w:tcPr>
            <w:tcW w:w="1260" w:type="dxa"/>
          </w:tcPr>
          <w:p w:rsidR="00EA1845" w:rsidRPr="00A27CFC" w:rsidRDefault="00A27CFC" w:rsidP="008E4A46">
            <w:pPr>
              <w:jc w:val="center"/>
              <w:rPr>
                <w:b w:val="0"/>
                <w:sz w:val="22"/>
                <w:szCs w:val="22"/>
              </w:rPr>
            </w:pPr>
            <w:r w:rsidRPr="00A27CFC">
              <w:rPr>
                <w:b w:val="0"/>
                <w:sz w:val="22"/>
                <w:szCs w:val="22"/>
              </w:rPr>
              <w:t>29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27CFC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27CFC"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1080" w:type="dxa"/>
          </w:tcPr>
          <w:p w:rsidR="00EA1845" w:rsidRPr="00A322E1" w:rsidRDefault="00FA2719" w:rsidP="0097429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EA1845" w:rsidRPr="00A322E1" w:rsidRDefault="003F6A00" w:rsidP="0097429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:rsidR="00EA1845" w:rsidRPr="00A322E1" w:rsidRDefault="00FA2719" w:rsidP="0097429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EA1845" w:rsidRPr="00A322E1" w:rsidRDefault="00FA2719" w:rsidP="0097429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</w:tr>
      <w:tr w:rsidR="00EA1845">
        <w:trPr>
          <w:trHeight w:val="240"/>
        </w:trPr>
        <w:tc>
          <w:tcPr>
            <w:tcW w:w="2006" w:type="dxa"/>
          </w:tcPr>
          <w:p w:rsidR="00EA1845" w:rsidRPr="00A322E1" w:rsidRDefault="00EA1845" w:rsidP="00974293">
            <w:pPr>
              <w:rPr>
                <w:b w:val="0"/>
                <w:sz w:val="22"/>
                <w:szCs w:val="22"/>
              </w:rPr>
            </w:pPr>
            <w:r w:rsidRPr="00A322E1">
              <w:rPr>
                <w:b w:val="0"/>
                <w:sz w:val="22"/>
                <w:szCs w:val="22"/>
              </w:rPr>
              <w:t xml:space="preserve">BT </w:t>
            </w:r>
            <w:r w:rsidR="0042109C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4" w:type="dxa"/>
          </w:tcPr>
          <w:p w:rsidR="00EA1845" w:rsidRPr="00A322E1" w:rsidRDefault="00EA1845" w:rsidP="0097429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300 &amp; 500 </w:t>
            </w:r>
          </w:p>
        </w:tc>
        <w:tc>
          <w:tcPr>
            <w:tcW w:w="1350" w:type="dxa"/>
          </w:tcPr>
          <w:p w:rsidR="00EA1845" w:rsidRPr="008D604E" w:rsidRDefault="00A27CFC" w:rsidP="00A27CFC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5/3</w:t>
            </w:r>
            <w:r w:rsidR="00EA1845" w:rsidRPr="00A27CFC">
              <w:rPr>
                <w:b w:val="0"/>
                <w:sz w:val="22"/>
                <w:szCs w:val="22"/>
              </w:rPr>
              <w:t xml:space="preserve"> &amp; 5/</w:t>
            </w:r>
            <w:r w:rsidR="00C91EDC" w:rsidRPr="00A27CFC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EA1845" w:rsidRPr="00A27CFC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 w:rsidRPr="00A27CFC">
              <w:rPr>
                <w:b w:val="0"/>
                <w:sz w:val="22"/>
                <w:szCs w:val="22"/>
              </w:rPr>
              <w:t>29</w:t>
            </w:r>
            <w:r w:rsidR="00C91EDC" w:rsidRPr="00A27CFC">
              <w:rPr>
                <w:b w:val="0"/>
                <w:sz w:val="22"/>
                <w:szCs w:val="22"/>
              </w:rPr>
              <w:t xml:space="preserve"> &amp; </w:t>
            </w:r>
            <w:r w:rsidRPr="00A27CFC"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1080" w:type="dxa"/>
          </w:tcPr>
          <w:p w:rsidR="00EA1845" w:rsidRPr="00A322E1" w:rsidRDefault="00FA2719" w:rsidP="0097429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A1845" w:rsidRPr="00A322E1" w:rsidRDefault="00FA2719" w:rsidP="0097429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70" w:type="dxa"/>
          </w:tcPr>
          <w:p w:rsidR="00EA1845" w:rsidRPr="00A322E1" w:rsidRDefault="00FA2719" w:rsidP="0097429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A1845" w:rsidRPr="00A322E1" w:rsidRDefault="00FA2719" w:rsidP="0097429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</w:tr>
      <w:tr w:rsidR="00A27CFC">
        <w:trPr>
          <w:trHeight w:val="240"/>
        </w:trPr>
        <w:tc>
          <w:tcPr>
            <w:tcW w:w="2006" w:type="dxa"/>
          </w:tcPr>
          <w:p w:rsidR="00A27CFC" w:rsidRPr="00A322E1" w:rsidRDefault="00A27CFC" w:rsidP="00A27CFC">
            <w:pPr>
              <w:rPr>
                <w:b w:val="0"/>
                <w:sz w:val="22"/>
                <w:szCs w:val="22"/>
              </w:rPr>
            </w:pPr>
            <w:r w:rsidRPr="00A322E1">
              <w:rPr>
                <w:b w:val="0"/>
                <w:sz w:val="22"/>
                <w:szCs w:val="22"/>
              </w:rPr>
              <w:t>Imidan</w:t>
            </w:r>
            <w:r w:rsidRPr="0042109C">
              <w:rPr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34" w:type="dxa"/>
          </w:tcPr>
          <w:p w:rsidR="00A27CFC" w:rsidRPr="00A322E1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400-500 </w:t>
            </w:r>
          </w:p>
        </w:tc>
        <w:tc>
          <w:tcPr>
            <w:tcW w:w="1350" w:type="dxa"/>
          </w:tcPr>
          <w:p w:rsidR="00A27CFC" w:rsidRPr="00A27CFC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 w:rsidRPr="00A27CFC">
              <w:rPr>
                <w:b w:val="0"/>
                <w:sz w:val="22"/>
                <w:szCs w:val="22"/>
              </w:rPr>
              <w:t>5/10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27CFC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 xml:space="preserve"> 5/</w:t>
            </w:r>
            <w:r w:rsidRPr="00A27CFC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260" w:type="dxa"/>
          </w:tcPr>
          <w:p w:rsidR="00A27CFC" w:rsidRPr="00A27CFC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 w:rsidRPr="00A27CFC">
              <w:rPr>
                <w:b w:val="0"/>
                <w:sz w:val="22"/>
                <w:szCs w:val="22"/>
              </w:rPr>
              <w:t xml:space="preserve">36 - </w:t>
            </w: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1080" w:type="dxa"/>
          </w:tcPr>
          <w:p w:rsidR="00A27CFC" w:rsidRPr="00A322E1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1080" w:type="dxa"/>
          </w:tcPr>
          <w:p w:rsidR="00A27CFC" w:rsidRPr="00A322E1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170" w:type="dxa"/>
          </w:tcPr>
          <w:p w:rsidR="00A27CFC" w:rsidRPr="00A322E1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A27CFC" w:rsidRPr="00A322E1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</w:tr>
      <w:tr w:rsidR="00A27CFC">
        <w:trPr>
          <w:trHeight w:val="240"/>
        </w:trPr>
        <w:tc>
          <w:tcPr>
            <w:tcW w:w="2006" w:type="dxa"/>
          </w:tcPr>
          <w:p w:rsidR="00A27CFC" w:rsidRPr="00A322E1" w:rsidRDefault="00A27CFC" w:rsidP="00A27CFC">
            <w:pPr>
              <w:rPr>
                <w:b w:val="0"/>
                <w:sz w:val="22"/>
                <w:szCs w:val="22"/>
              </w:rPr>
            </w:pPr>
            <w:r w:rsidRPr="00A322E1">
              <w:rPr>
                <w:b w:val="0"/>
                <w:sz w:val="22"/>
                <w:szCs w:val="22"/>
              </w:rPr>
              <w:t xml:space="preserve">Asana </w:t>
            </w:r>
            <w:r>
              <w:rPr>
                <w:b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34" w:type="dxa"/>
          </w:tcPr>
          <w:p w:rsidR="00A27CFC" w:rsidRPr="00A322E1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400-500 </w:t>
            </w:r>
          </w:p>
        </w:tc>
        <w:tc>
          <w:tcPr>
            <w:tcW w:w="1350" w:type="dxa"/>
          </w:tcPr>
          <w:p w:rsidR="00A27CFC" w:rsidRPr="00A27CFC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 w:rsidRPr="00A27CFC">
              <w:rPr>
                <w:b w:val="0"/>
                <w:sz w:val="22"/>
                <w:szCs w:val="22"/>
              </w:rPr>
              <w:t>5/10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27CFC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 xml:space="preserve"> 5/</w:t>
            </w:r>
            <w:r w:rsidRPr="00A27CFC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260" w:type="dxa"/>
          </w:tcPr>
          <w:p w:rsidR="00A27CFC" w:rsidRPr="00A27CFC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 w:rsidRPr="00A27CFC">
              <w:rPr>
                <w:b w:val="0"/>
                <w:sz w:val="22"/>
                <w:szCs w:val="22"/>
              </w:rPr>
              <w:t xml:space="preserve">36 - </w:t>
            </w: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1080" w:type="dxa"/>
          </w:tcPr>
          <w:p w:rsidR="00A27CFC" w:rsidRPr="00A322E1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1080" w:type="dxa"/>
          </w:tcPr>
          <w:p w:rsidR="00A27CFC" w:rsidRPr="00A322E1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170" w:type="dxa"/>
          </w:tcPr>
          <w:p w:rsidR="00A27CFC" w:rsidRPr="00A322E1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A27CFC" w:rsidRPr="00A322E1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</w:tr>
      <w:tr w:rsidR="00A27CFC">
        <w:trPr>
          <w:trHeight w:val="240"/>
        </w:trPr>
        <w:tc>
          <w:tcPr>
            <w:tcW w:w="2006" w:type="dxa"/>
          </w:tcPr>
          <w:p w:rsidR="00A27CFC" w:rsidRPr="00A322E1" w:rsidRDefault="00A27CFC" w:rsidP="00A27CF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Warrior (Lambda)</w:t>
            </w:r>
          </w:p>
        </w:tc>
        <w:tc>
          <w:tcPr>
            <w:tcW w:w="1234" w:type="dxa"/>
          </w:tcPr>
          <w:p w:rsidR="00A27CFC" w:rsidRPr="00A322E1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400-500 </w:t>
            </w:r>
          </w:p>
        </w:tc>
        <w:tc>
          <w:tcPr>
            <w:tcW w:w="1350" w:type="dxa"/>
          </w:tcPr>
          <w:p w:rsidR="00A27CFC" w:rsidRPr="00A27CFC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 w:rsidRPr="00A27CFC">
              <w:rPr>
                <w:b w:val="0"/>
                <w:sz w:val="22"/>
                <w:szCs w:val="22"/>
              </w:rPr>
              <w:t>5/10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27CFC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 xml:space="preserve"> 5/</w:t>
            </w:r>
            <w:r w:rsidRPr="00A27CFC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260" w:type="dxa"/>
          </w:tcPr>
          <w:p w:rsidR="00A27CFC" w:rsidRPr="00A27CFC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 w:rsidRPr="00A27CFC">
              <w:rPr>
                <w:b w:val="0"/>
                <w:sz w:val="22"/>
                <w:szCs w:val="22"/>
              </w:rPr>
              <w:t xml:space="preserve">36 - </w:t>
            </w: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1080" w:type="dxa"/>
          </w:tcPr>
          <w:p w:rsidR="00A27CFC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A27CFC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170" w:type="dxa"/>
          </w:tcPr>
          <w:p w:rsidR="00A27CFC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A27CFC" w:rsidRDefault="00A27CFC" w:rsidP="00A27CF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</w:tr>
    </w:tbl>
    <w:p w:rsidR="00A4550F" w:rsidRDefault="00EC3F86" w:rsidP="0042109C">
      <w:pPr>
        <w:rPr>
          <w:b w:val="0"/>
          <w:sz w:val="20"/>
        </w:rPr>
      </w:pPr>
      <w:r w:rsidRPr="00AD17D7">
        <w:rPr>
          <w:b w:val="0"/>
          <w:sz w:val="20"/>
        </w:rPr>
        <w:t>NOTES:</w:t>
      </w:r>
      <w:r>
        <w:rPr>
          <w:b w:val="0"/>
          <w:sz w:val="20"/>
          <w:vertAlign w:val="superscript"/>
        </w:rPr>
        <w:tab/>
      </w:r>
      <w:r w:rsidR="00A4550F">
        <w:rPr>
          <w:b w:val="0"/>
          <w:sz w:val="20"/>
          <w:vertAlign w:val="superscript"/>
        </w:rPr>
        <w:t>1</w:t>
      </w:r>
      <w:r w:rsidR="00A4550F">
        <w:rPr>
          <w:b w:val="0"/>
          <w:sz w:val="20"/>
        </w:rPr>
        <w:t xml:space="preserve"> toxic to mite predators - may increase mite problems</w:t>
      </w:r>
    </w:p>
    <w:p w:rsidR="00A72326" w:rsidRDefault="00A72326">
      <w:pPr>
        <w:rPr>
          <w:b w:val="0"/>
          <w:sz w:val="20"/>
        </w:rPr>
      </w:pPr>
      <w:r>
        <w:rPr>
          <w:b w:val="0"/>
          <w:sz w:val="20"/>
        </w:rPr>
        <w:tab/>
      </w:r>
      <w:r w:rsidR="0042109C">
        <w:rPr>
          <w:b w:val="0"/>
          <w:sz w:val="20"/>
          <w:vertAlign w:val="superscript"/>
        </w:rPr>
        <w:t>2</w:t>
      </w:r>
      <w:r>
        <w:rPr>
          <w:b w:val="0"/>
          <w:sz w:val="20"/>
        </w:rPr>
        <w:t xml:space="preserve"> organically acceptable material</w:t>
      </w:r>
    </w:p>
    <w:p w:rsidR="0042109C" w:rsidRPr="0042109C" w:rsidRDefault="0042109C">
      <w:pPr>
        <w:rPr>
          <w:b w:val="0"/>
          <w:sz w:val="20"/>
        </w:rPr>
      </w:pPr>
      <w:r>
        <w:rPr>
          <w:b w:val="0"/>
          <w:sz w:val="20"/>
        </w:rPr>
        <w:tab/>
      </w:r>
      <w:r w:rsidRPr="0042109C">
        <w:rPr>
          <w:b w:val="0"/>
          <w:sz w:val="20"/>
          <w:vertAlign w:val="superscript"/>
        </w:rPr>
        <w:t>3</w:t>
      </w:r>
      <w:r>
        <w:rPr>
          <w:b w:val="0"/>
          <w:sz w:val="20"/>
        </w:rPr>
        <w:t xml:space="preserve"> a</w:t>
      </w:r>
      <w:r w:rsidRPr="0042109C">
        <w:rPr>
          <w:b w:val="0"/>
          <w:sz w:val="20"/>
        </w:rPr>
        <w:t xml:space="preserve">cidify water to 5.0 or below before adding </w:t>
      </w:r>
      <w:r>
        <w:rPr>
          <w:b w:val="0"/>
          <w:sz w:val="20"/>
        </w:rPr>
        <w:t>material</w:t>
      </w:r>
    </w:p>
    <w:p w:rsidR="00A4550F" w:rsidRDefault="00A4550F">
      <w:pPr>
        <w:rPr>
          <w:b w:val="0"/>
          <w:sz w:val="20"/>
        </w:rPr>
      </w:pPr>
      <w:r>
        <w:rPr>
          <w:b w:val="0"/>
          <w:sz w:val="20"/>
        </w:rPr>
        <w:tab/>
      </w:r>
    </w:p>
    <w:p w:rsidR="00A72326" w:rsidRPr="00AD17D7" w:rsidRDefault="00A4550F">
      <w:pPr>
        <w:rPr>
          <w:b w:val="0"/>
          <w:szCs w:val="24"/>
        </w:rPr>
      </w:pPr>
      <w:r w:rsidRPr="00AD17D7">
        <w:rPr>
          <w:b w:val="0"/>
          <w:i/>
          <w:szCs w:val="24"/>
        </w:rPr>
        <w:t>Mating Disruption</w:t>
      </w:r>
      <w:r w:rsidRPr="00AD17D7">
        <w:rPr>
          <w:b w:val="0"/>
          <w:szCs w:val="24"/>
        </w:rPr>
        <w:t xml:space="preserve"> materials are also available and </w:t>
      </w:r>
      <w:r w:rsidR="00A72326" w:rsidRPr="00AD17D7">
        <w:rPr>
          <w:b w:val="0"/>
          <w:szCs w:val="24"/>
        </w:rPr>
        <w:t xml:space="preserve">can be </w:t>
      </w:r>
      <w:r w:rsidRPr="00AD17D7">
        <w:rPr>
          <w:b w:val="0"/>
          <w:szCs w:val="24"/>
        </w:rPr>
        <w:t xml:space="preserve">effective in controlling PTB in orchards larger than 5-10 acres. They should have been applied before </w:t>
      </w:r>
      <w:proofErr w:type="spellStart"/>
      <w:r w:rsidRPr="00AD17D7">
        <w:rPr>
          <w:b w:val="0"/>
          <w:szCs w:val="24"/>
        </w:rPr>
        <w:t>biofix</w:t>
      </w:r>
      <w:proofErr w:type="spellEnd"/>
      <w:r w:rsidR="00BF69F5" w:rsidRPr="00AD17D7">
        <w:rPr>
          <w:b w:val="0"/>
          <w:szCs w:val="24"/>
        </w:rPr>
        <w:t xml:space="preserve">. </w:t>
      </w:r>
      <w:r w:rsidRPr="00AD17D7">
        <w:rPr>
          <w:b w:val="0"/>
          <w:szCs w:val="24"/>
        </w:rPr>
        <w:t xml:space="preserve"> Think about this option for next year. </w:t>
      </w:r>
    </w:p>
    <w:p w:rsidR="00BF69F5" w:rsidRPr="00AD17D7" w:rsidRDefault="00BF69F5">
      <w:pPr>
        <w:rPr>
          <w:b w:val="0"/>
          <w:szCs w:val="24"/>
        </w:rPr>
      </w:pPr>
    </w:p>
    <w:sectPr w:rsidR="00BF69F5" w:rsidRPr="00AD17D7" w:rsidSect="00824413">
      <w:footerReference w:type="first" r:id="rId7"/>
      <w:pgSz w:w="12240" w:h="15840"/>
      <w:pgMar w:top="806" w:right="720" w:bottom="720" w:left="810" w:header="720" w:footer="3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688" w:rsidRDefault="005A1688">
      <w:r>
        <w:separator/>
      </w:r>
    </w:p>
  </w:endnote>
  <w:endnote w:type="continuationSeparator" w:id="0">
    <w:p w:rsidR="005A1688" w:rsidRDefault="005A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ggadocio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50F" w:rsidRDefault="00A4550F" w:rsidP="0079612F">
    <w:pPr>
      <w:pStyle w:val="Footer"/>
      <w:pBdr>
        <w:top w:val="single" w:sz="4" w:space="1" w:color="auto"/>
      </w:pBdr>
      <w:jc w:val="both"/>
    </w:pPr>
    <w:r>
      <w:rPr>
        <w:b w:val="0"/>
        <w:sz w:val="18"/>
      </w:rPr>
      <w:t xml:space="preserve">Note: The above information is provided to serve as baseline data for </w:t>
    </w:r>
    <w:smartTag w:uri="urn:schemas-microsoft-com:office:smarttags" w:element="place">
      <w:smartTag w:uri="urn:schemas-microsoft-com:office:smarttags" w:element="PlaceName">
        <w:r>
          <w:rPr>
            <w:b w:val="0"/>
            <w:sz w:val="18"/>
          </w:rPr>
          <w:t>East</w:t>
        </w:r>
      </w:smartTag>
      <w:r>
        <w:rPr>
          <w:b w:val="0"/>
          <w:sz w:val="18"/>
        </w:rPr>
        <w:t xml:space="preserve"> </w:t>
      </w:r>
      <w:smartTag w:uri="urn:schemas-microsoft-com:office:smarttags" w:element="PlaceName">
        <w:r>
          <w:rPr>
            <w:b w:val="0"/>
            <w:sz w:val="18"/>
          </w:rPr>
          <w:t>Contra</w:t>
        </w:r>
      </w:smartTag>
      <w:r>
        <w:rPr>
          <w:b w:val="0"/>
          <w:sz w:val="18"/>
        </w:rPr>
        <w:t xml:space="preserve"> </w:t>
      </w:r>
      <w:smartTag w:uri="urn:schemas-microsoft-com:office:smarttags" w:element="PlaceName">
        <w:r>
          <w:rPr>
            <w:b w:val="0"/>
            <w:sz w:val="18"/>
          </w:rPr>
          <w:t>Costa</w:t>
        </w:r>
      </w:smartTag>
      <w:r>
        <w:rPr>
          <w:b w:val="0"/>
          <w:sz w:val="18"/>
        </w:rPr>
        <w:t xml:space="preserve"> </w:t>
      </w:r>
      <w:smartTag w:uri="urn:schemas-microsoft-com:office:smarttags" w:element="PlaceType">
        <w:r>
          <w:rPr>
            <w:b w:val="0"/>
            <w:sz w:val="18"/>
          </w:rPr>
          <w:t>County</w:t>
        </w:r>
      </w:smartTag>
    </w:smartTag>
    <w:r>
      <w:rPr>
        <w:b w:val="0"/>
        <w:sz w:val="18"/>
      </w:rPr>
      <w:t>. For best results compare with traps and observations in your own orchards.  Depending on pest pressure, sprays may not be necessary. Projected treatment times are based on historical weather data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688" w:rsidRDefault="005A1688">
      <w:r>
        <w:separator/>
      </w:r>
    </w:p>
  </w:footnote>
  <w:footnote w:type="continuationSeparator" w:id="0">
    <w:p w:rsidR="005A1688" w:rsidRDefault="005A1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D8"/>
    <w:rsid w:val="00155101"/>
    <w:rsid w:val="00280630"/>
    <w:rsid w:val="002D5285"/>
    <w:rsid w:val="003107E0"/>
    <w:rsid w:val="00324B67"/>
    <w:rsid w:val="00344F4F"/>
    <w:rsid w:val="00347616"/>
    <w:rsid w:val="003A6019"/>
    <w:rsid w:val="003B06D8"/>
    <w:rsid w:val="003B191C"/>
    <w:rsid w:val="003C2D9D"/>
    <w:rsid w:val="003E081F"/>
    <w:rsid w:val="003F6A00"/>
    <w:rsid w:val="003F7219"/>
    <w:rsid w:val="0042109C"/>
    <w:rsid w:val="00541B0E"/>
    <w:rsid w:val="00555840"/>
    <w:rsid w:val="005A1688"/>
    <w:rsid w:val="005B06E5"/>
    <w:rsid w:val="005D1E16"/>
    <w:rsid w:val="00605086"/>
    <w:rsid w:val="006443F8"/>
    <w:rsid w:val="006B1EBC"/>
    <w:rsid w:val="0072392F"/>
    <w:rsid w:val="0079612F"/>
    <w:rsid w:val="007E66AE"/>
    <w:rsid w:val="007F7893"/>
    <w:rsid w:val="00824413"/>
    <w:rsid w:val="00825255"/>
    <w:rsid w:val="00876DA1"/>
    <w:rsid w:val="008D604E"/>
    <w:rsid w:val="008E4A46"/>
    <w:rsid w:val="008E65F0"/>
    <w:rsid w:val="0095027E"/>
    <w:rsid w:val="00974293"/>
    <w:rsid w:val="009D6665"/>
    <w:rsid w:val="00A27CFC"/>
    <w:rsid w:val="00A322E1"/>
    <w:rsid w:val="00A4550F"/>
    <w:rsid w:val="00A522D9"/>
    <w:rsid w:val="00A72326"/>
    <w:rsid w:val="00AB50F3"/>
    <w:rsid w:val="00AC1ECF"/>
    <w:rsid w:val="00AD17D7"/>
    <w:rsid w:val="00B20322"/>
    <w:rsid w:val="00B33E2B"/>
    <w:rsid w:val="00B80839"/>
    <w:rsid w:val="00BA2D34"/>
    <w:rsid w:val="00BD1E2D"/>
    <w:rsid w:val="00BF3464"/>
    <w:rsid w:val="00BF69F5"/>
    <w:rsid w:val="00C0689E"/>
    <w:rsid w:val="00C11192"/>
    <w:rsid w:val="00C3390F"/>
    <w:rsid w:val="00C91EDC"/>
    <w:rsid w:val="00C966F9"/>
    <w:rsid w:val="00D16E05"/>
    <w:rsid w:val="00D54F49"/>
    <w:rsid w:val="00DC3E96"/>
    <w:rsid w:val="00E61A42"/>
    <w:rsid w:val="00EA1845"/>
    <w:rsid w:val="00EB475E"/>
    <w:rsid w:val="00EC3F86"/>
    <w:rsid w:val="00ED19C2"/>
    <w:rsid w:val="00F02CC6"/>
    <w:rsid w:val="00F04BAB"/>
    <w:rsid w:val="00F27CC1"/>
    <w:rsid w:val="00F359EA"/>
    <w:rsid w:val="00FA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>
      <o:colormru v:ext="edit" colors="#4fddff,#60d5fa,#00cefe"/>
    </o:shapedefaults>
    <o:shapelayout v:ext="edit">
      <o:idmap v:ext="edit" data="1"/>
    </o:shapelayout>
  </w:shapeDefaults>
  <w:decimalSymbol w:val="."/>
  <w:listSeparator w:val=","/>
  <w15:docId w15:val="{51B1500A-AA30-4ADC-9DCD-4877D4A9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pBdr>
        <w:bottom w:val="single" w:sz="6" w:space="1" w:color="auto"/>
      </w:pBdr>
      <w:jc w:val="center"/>
      <w:outlineLvl w:val="1"/>
    </w:pPr>
    <w:rPr>
      <w:rFonts w:ascii="Braggadocio" w:hAnsi="Braggadocio"/>
      <w:sz w:val="5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 Narrow" w:hAnsi="Arial Narrow"/>
      <w:sz w:val="16"/>
    </w:rPr>
  </w:style>
  <w:style w:type="paragraph" w:styleId="BalloonText">
    <w:name w:val="Balloon Text"/>
    <w:basedOn w:val="Normal"/>
    <w:semiHidden/>
    <w:rsid w:val="00A72326"/>
    <w:rPr>
      <w:rFonts w:ascii="Tahoma" w:hAnsi="Tahoma" w:cs="Tahoma"/>
      <w:sz w:val="16"/>
      <w:szCs w:val="16"/>
    </w:rPr>
  </w:style>
  <w:style w:type="character" w:styleId="Hyperlink">
    <w:name w:val="Hyperlink"/>
    <w:rsid w:val="00A52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m.ucdavi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EXTENSION			 UNIVERSITY OF CALIFORNIA</vt:lpstr>
    </vt:vector>
  </TitlesOfParts>
  <Company>Contra Costa Coop Extension</Company>
  <LinksUpToDate>false</LinksUpToDate>
  <CharactersWithSpaces>2730</CharactersWithSpaces>
  <SharedDoc>false</SharedDoc>
  <HLinks>
    <vt:vector size="6" baseType="variant"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http://www.ipm.ucdavis.edu/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EXTENSION			 UNIVERSITY OF CALIFORNIA</dc:title>
  <dc:creator>Janet Caprile</dc:creator>
  <cp:lastModifiedBy>Janet Caprile</cp:lastModifiedBy>
  <cp:revision>2</cp:revision>
  <cp:lastPrinted>2017-05-02T00:11:00Z</cp:lastPrinted>
  <dcterms:created xsi:type="dcterms:W3CDTF">2017-05-02T00:12:00Z</dcterms:created>
  <dcterms:modified xsi:type="dcterms:W3CDTF">2017-05-02T00:12:00Z</dcterms:modified>
</cp:coreProperties>
</file>